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DD52" w14:textId="3EDE1B19" w:rsid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 xml:space="preserve">Postřehy ze 17. zasedání Zastupitelstva obce Fryčovice </w:t>
      </w:r>
      <w:r w:rsidR="005155DA">
        <w:rPr>
          <w:rFonts w:eastAsia="Times New Roman" w:cstheme="minorHAnsi"/>
          <w:b/>
          <w:bCs/>
          <w:lang w:eastAsia="cs-CZ"/>
        </w:rPr>
        <w:t xml:space="preserve">ze dne </w:t>
      </w:r>
      <w:r w:rsidRPr="00E67940">
        <w:rPr>
          <w:rFonts w:eastAsia="Times New Roman" w:cstheme="minorHAnsi"/>
          <w:b/>
          <w:bCs/>
          <w:lang w:eastAsia="cs-CZ"/>
        </w:rPr>
        <w:t>24. 06. 2026</w:t>
      </w:r>
    </w:p>
    <w:p w14:paraId="0D37C835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70026E80" w14:textId="27B3E631" w:rsid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Těm z Vás, kteří se nemohli jednání zúčastnit, přinášíme pravidelné postřehy z jednání zastupitelů</w:t>
      </w:r>
      <w:r w:rsidR="005155DA">
        <w:rPr>
          <w:rFonts w:eastAsia="Times New Roman" w:cstheme="minorHAnsi"/>
          <w:lang w:eastAsia="cs-CZ"/>
        </w:rPr>
        <w:t>, které</w:t>
      </w:r>
      <w:r w:rsidRPr="00E67940">
        <w:rPr>
          <w:rFonts w:eastAsia="Times New Roman" w:cstheme="minorHAnsi"/>
          <w:lang w:eastAsia="cs-CZ"/>
        </w:rPr>
        <w:t xml:space="preserve"> se ve velké míře neslo ve znamení dotazů na probíhající investiční akce. Přinášíme Vám přehled těch nejdůležitějších bodů:</w:t>
      </w:r>
    </w:p>
    <w:p w14:paraId="1BC7891A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8560AEE" w14:textId="2D9D5C16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E67940">
        <w:rPr>
          <w:rFonts w:eastAsia="Times New Roman" w:cstheme="minorHAnsi"/>
          <w:b/>
          <w:bCs/>
          <w:caps/>
          <w:lang w:eastAsia="cs-CZ"/>
        </w:rPr>
        <w:t>Zpráva o činnosti rady</w:t>
      </w:r>
    </w:p>
    <w:p w14:paraId="07EE0BA1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Tento bod přinesl první velkou diskusi, hlavně díky našim dotazům k rozpracovaným projektům:</w:t>
      </w:r>
    </w:p>
    <w:p w14:paraId="5240D7AF" w14:textId="74CE0365" w:rsidR="00E67940" w:rsidRP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Fotovoltaika s p</w:t>
      </w:r>
      <w:r w:rsidRPr="00E67940">
        <w:rPr>
          <w:rFonts w:ascii="Calibri" w:eastAsia="Times New Roman" w:hAnsi="Calibri" w:cs="Calibri"/>
          <w:b/>
          <w:bCs/>
          <w:lang w:eastAsia="cs-CZ"/>
        </w:rPr>
        <w:t>ř</w:t>
      </w:r>
      <w:r w:rsidRPr="00E67940">
        <w:rPr>
          <w:rFonts w:eastAsia="Times New Roman" w:cstheme="minorHAnsi"/>
          <w:b/>
          <w:bCs/>
          <w:lang w:eastAsia="cs-CZ"/>
        </w:rPr>
        <w:t>ekvapen</w:t>
      </w:r>
      <w:r w:rsidRPr="00E67940">
        <w:rPr>
          <w:rFonts w:ascii="Calibri" w:eastAsia="Times New Roman" w:hAnsi="Calibri" w:cs="Calibri"/>
          <w:b/>
          <w:bCs/>
          <w:lang w:eastAsia="cs-CZ"/>
        </w:rPr>
        <w:t>í</w:t>
      </w:r>
      <w:r w:rsidRPr="00E67940">
        <w:rPr>
          <w:rFonts w:eastAsia="Times New Roman" w:cstheme="minorHAnsi"/>
          <w:b/>
          <w:bCs/>
          <w:lang w:eastAsia="cs-CZ"/>
        </w:rPr>
        <w:t>m:</w:t>
      </w:r>
      <w:r w:rsidRPr="00E67940">
        <w:rPr>
          <w:rFonts w:eastAsia="Times New Roman" w:cstheme="minorHAnsi"/>
          <w:lang w:eastAsia="cs-CZ"/>
        </w:rPr>
        <w:t xml:space="preserve"> Obec získala dotaci na projektovou dokumentaci pro 6 obecních budov. Statika však odhalila špatný stav střech, přičemž nejhorší situace je na obecním úřadě, kde se objevila dřevomorka. Na podzim bude nutné připravit projekt na kompletní výměnu střešní konstrukce.</w:t>
      </w:r>
      <w:r w:rsidR="005155DA">
        <w:rPr>
          <w:rFonts w:eastAsia="Times New Roman" w:cstheme="minorHAnsi"/>
          <w:lang w:eastAsia="cs-CZ"/>
        </w:rPr>
        <w:t xml:space="preserve"> Prvotní tedy bude soustředit </w:t>
      </w:r>
      <w:r w:rsidR="007E157F">
        <w:rPr>
          <w:rFonts w:eastAsia="Times New Roman" w:cstheme="minorHAnsi"/>
          <w:lang w:eastAsia="cs-CZ"/>
        </w:rPr>
        <w:t xml:space="preserve">se </w:t>
      </w:r>
      <w:r w:rsidR="005155DA">
        <w:rPr>
          <w:rFonts w:eastAsia="Times New Roman" w:cstheme="minorHAnsi"/>
          <w:lang w:eastAsia="cs-CZ"/>
        </w:rPr>
        <w:t>na střechy objektů.</w:t>
      </w:r>
    </w:p>
    <w:p w14:paraId="1C9F3742" w14:textId="2CAA1518" w:rsidR="00E67940" w:rsidRP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Cyklostezka na Staříč:</w:t>
      </w:r>
      <w:r w:rsidRPr="00E67940">
        <w:rPr>
          <w:rFonts w:eastAsia="Times New Roman" w:cstheme="minorHAnsi"/>
          <w:lang w:eastAsia="cs-CZ"/>
        </w:rPr>
        <w:t xml:space="preserve"> Žádost o dotaci je podaná do operačního programu IROP a podle neoficiálních zpráv </w:t>
      </w:r>
      <w:r w:rsidR="005155DA">
        <w:rPr>
          <w:rFonts w:eastAsia="Times New Roman" w:cstheme="minorHAnsi"/>
          <w:lang w:eastAsia="cs-CZ"/>
        </w:rPr>
        <w:t xml:space="preserve">je </w:t>
      </w:r>
      <w:r w:rsidRPr="00E67940">
        <w:rPr>
          <w:rFonts w:eastAsia="Times New Roman" w:cstheme="minorHAnsi"/>
          <w:lang w:eastAsia="cs-CZ"/>
        </w:rPr>
        <w:t>už i schválena. Věříme</w:t>
      </w:r>
      <w:r w:rsidR="005155DA">
        <w:rPr>
          <w:rFonts w:eastAsia="Times New Roman" w:cstheme="minorHAnsi"/>
          <w:lang w:eastAsia="cs-CZ"/>
        </w:rPr>
        <w:t xml:space="preserve"> tedy</w:t>
      </w:r>
      <w:r w:rsidRPr="00E67940">
        <w:rPr>
          <w:rFonts w:eastAsia="Times New Roman" w:cstheme="minorHAnsi"/>
          <w:lang w:eastAsia="cs-CZ"/>
        </w:rPr>
        <w:t>, že se začne stavět co nejdříve.</w:t>
      </w:r>
    </w:p>
    <w:p w14:paraId="23179AEC" w14:textId="2DF6936D" w:rsidR="00E67940" w:rsidRP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Finišující Výletiště:</w:t>
      </w:r>
      <w:r w:rsidRPr="00E67940">
        <w:rPr>
          <w:rFonts w:eastAsia="Times New Roman" w:cstheme="minorHAnsi"/>
          <w:lang w:eastAsia="cs-CZ"/>
        </w:rPr>
        <w:t xml:space="preserve"> Zhotovitel garantuje předání stavby na konci července. Vodovodní rozvody jsou natlakované, objekt je zastřešen a probíhají práce na elektroinstalaci, omítkách a zpevněných plochách. Dorazila již také ocelová konstrukce amfiteátru. Provoz areálu si bude zajišťovat obec a samostatného správce zatím platit nebude, o dohled se podělí stávající zaměstnanci. Stále věříme, že se obci podaří vyřídit odškodné za chyby jak v tomto projektu, tak v projektu nájemního bydlení, které dělala shodná firma.</w:t>
      </w:r>
    </w:p>
    <w:p w14:paraId="5B9F0F33" w14:textId="15A75152" w:rsidR="00E67940" w:rsidRP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Čipování popelnic nese ovoce:</w:t>
      </w:r>
      <w:r w:rsidRPr="00E67940">
        <w:rPr>
          <w:rFonts w:eastAsia="Times New Roman" w:cstheme="minorHAnsi"/>
          <w:lang w:eastAsia="cs-CZ"/>
        </w:rPr>
        <w:t xml:space="preserve"> Nový systém funguje první měsíc. Počet evidovaných popelnic klesl z původních 1 019 na reálně využívaných 908. Jelikož obec platí 23 Kč za každé vyprázdnění, snížení počtu prázdných svozů přinese přímou finanční úsporu. Systém navíc odhalil podnikatele, kteří využívali popelnice pro domácnosti; ti si nyní chybějící nádoby začali doplácet.</w:t>
      </w:r>
    </w:p>
    <w:p w14:paraId="0016EB9A" w14:textId="230934A8" w:rsid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Vandalismus v parku:</w:t>
      </w:r>
      <w:r w:rsidRPr="00E67940">
        <w:rPr>
          <w:rFonts w:eastAsia="Times New Roman" w:cstheme="minorHAnsi"/>
          <w:lang w:eastAsia="cs-CZ"/>
        </w:rPr>
        <w:t xml:space="preserve"> Bohužel se rozmáhá velký nešvar – objevují se vyryté nápisy a nepořádek. Starosta uvedl, že fotopast kvůli velkému pohybu lidí moc nepomáhá, ale obec plánuje rozšíření kamerového systému. Nápisy se průběžně odstraňují, i když rychlé smazání někdy paradoxně láká vandaly k </w:t>
      </w:r>
      <w:r w:rsidR="005155DA">
        <w:rPr>
          <w:rFonts w:eastAsia="Times New Roman" w:cstheme="minorHAnsi"/>
          <w:lang w:eastAsia="cs-CZ"/>
        </w:rPr>
        <w:t>tvorbě</w:t>
      </w:r>
      <w:r w:rsidRPr="00E67940">
        <w:rPr>
          <w:rFonts w:eastAsia="Times New Roman" w:cstheme="minorHAnsi"/>
          <w:lang w:eastAsia="cs-CZ"/>
        </w:rPr>
        <w:t xml:space="preserve"> dalších.</w:t>
      </w:r>
    </w:p>
    <w:p w14:paraId="38489F2C" w14:textId="32C309C0" w:rsidR="005155DA" w:rsidRPr="00E67940" w:rsidRDefault="007E157F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b/>
          <w:bCs/>
        </w:rPr>
        <w:t>Péče o zeleň a park v centru:</w:t>
      </w:r>
      <w:r>
        <w:t xml:space="preserve"> Zajímali jsme se, zda smluvní firma </w:t>
      </w:r>
      <w:proofErr w:type="spellStart"/>
      <w:r>
        <w:t>Vykrut</w:t>
      </w:r>
      <w:proofErr w:type="spellEnd"/>
      <w:r>
        <w:t xml:space="preserve"> plní dohody ohledně zahradnických prací a údržby okrasné zeleně v parku před obecním úřadem. </w:t>
      </w:r>
      <w:proofErr w:type="spellStart"/>
      <w:r>
        <w:t>Podlo</w:t>
      </w:r>
      <w:proofErr w:type="spellEnd"/>
      <w:r>
        <w:t xml:space="preserve"> vyjádření starosty probíhá spolupráce bez problémů a operativně – záhony byly před nedávnem odpleveleny a v horkých dnech proběhla mimořádná zálivka nově vysazených stromů. Nezodpovězena zůstala naše otázka, proč nejsou u stromů zavlažovací vaky. My jsme si ověřili, že vaky byly z dotace pořízeny a je tedy škoda, že v letošních suchých dnech ležely bůhvíkde ladem.</w:t>
      </w:r>
    </w:p>
    <w:p w14:paraId="0A591EC8" w14:textId="3541B66F" w:rsidR="00E67940" w:rsidRP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K</w:t>
      </w:r>
      <w:r w:rsidRPr="00E67940">
        <w:rPr>
          <w:rFonts w:ascii="Calibri" w:eastAsia="Times New Roman" w:hAnsi="Calibri" w:cs="Calibri"/>
          <w:b/>
          <w:bCs/>
          <w:lang w:eastAsia="cs-CZ"/>
        </w:rPr>
        <w:t>ř</w:t>
      </w:r>
      <w:r w:rsidRPr="00E67940">
        <w:rPr>
          <w:rFonts w:eastAsia="Times New Roman" w:cstheme="minorHAnsi"/>
          <w:b/>
          <w:bCs/>
          <w:lang w:eastAsia="cs-CZ"/>
        </w:rPr>
        <w:t>i</w:t>
      </w:r>
      <w:r w:rsidRPr="00E67940">
        <w:rPr>
          <w:rFonts w:ascii="Calibri" w:eastAsia="Times New Roman" w:hAnsi="Calibri" w:cs="Calibri"/>
          <w:b/>
          <w:bCs/>
          <w:lang w:eastAsia="cs-CZ"/>
        </w:rPr>
        <w:t>ž</w:t>
      </w:r>
      <w:r w:rsidRPr="00E67940">
        <w:rPr>
          <w:rFonts w:eastAsia="Times New Roman" w:cstheme="minorHAnsi"/>
          <w:b/>
          <w:bCs/>
          <w:lang w:eastAsia="cs-CZ"/>
        </w:rPr>
        <w:t>ovatka U k</w:t>
      </w:r>
      <w:r w:rsidRPr="00E67940">
        <w:rPr>
          <w:rFonts w:ascii="Calibri" w:eastAsia="Times New Roman" w:hAnsi="Calibri" w:cs="Calibri"/>
          <w:b/>
          <w:bCs/>
          <w:lang w:eastAsia="cs-CZ"/>
        </w:rPr>
        <w:t>říž</w:t>
      </w:r>
      <w:r w:rsidRPr="00E67940">
        <w:rPr>
          <w:rFonts w:eastAsia="Times New Roman" w:cstheme="minorHAnsi"/>
          <w:b/>
          <w:bCs/>
          <w:lang w:eastAsia="cs-CZ"/>
        </w:rPr>
        <w:t>e:</w:t>
      </w:r>
      <w:r w:rsidRPr="00E67940">
        <w:rPr>
          <w:rFonts w:eastAsia="Times New Roman" w:cstheme="minorHAnsi"/>
          <w:lang w:eastAsia="cs-CZ"/>
        </w:rPr>
        <w:t xml:space="preserve"> Dokončení zbývajících prací a osazení dopravního značení se předpokládá do 14 dnů. Na dotazy k čerstvým nehodám starosta reagoval, že šlo o selhání lidského faktoru (nedání přednosti) a současné řešení s ostrůvkem je maximem toho, co v místě kvůli technickým normám šlo udělat. Podklady pro kolaudaci se připravují a zatím jde stále o staveniště.</w:t>
      </w:r>
    </w:p>
    <w:p w14:paraId="17FE9C1A" w14:textId="7452017A" w:rsidR="00E67940" w:rsidRDefault="00E67940" w:rsidP="00E6794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Oprava komunikace a st</w:t>
      </w:r>
      <w:r w:rsidRPr="00E67940">
        <w:rPr>
          <w:rFonts w:ascii="Calibri" w:eastAsia="Times New Roman" w:hAnsi="Calibri" w:cs="Calibri"/>
          <w:b/>
          <w:bCs/>
          <w:lang w:eastAsia="cs-CZ"/>
        </w:rPr>
        <w:t>ř</w:t>
      </w:r>
      <w:r w:rsidRPr="00E67940">
        <w:rPr>
          <w:rFonts w:eastAsia="Times New Roman" w:cstheme="minorHAnsi"/>
          <w:b/>
          <w:bCs/>
          <w:lang w:eastAsia="cs-CZ"/>
        </w:rPr>
        <w:t>et z</w:t>
      </w:r>
      <w:r w:rsidRPr="00E67940">
        <w:rPr>
          <w:rFonts w:ascii="Calibri" w:eastAsia="Times New Roman" w:hAnsi="Calibri" w:cs="Calibri"/>
          <w:b/>
          <w:bCs/>
          <w:lang w:eastAsia="cs-CZ"/>
        </w:rPr>
        <w:t>á</w:t>
      </w:r>
      <w:r w:rsidRPr="00E67940">
        <w:rPr>
          <w:rFonts w:eastAsia="Times New Roman" w:cstheme="minorHAnsi"/>
          <w:b/>
          <w:bCs/>
          <w:lang w:eastAsia="cs-CZ"/>
        </w:rPr>
        <w:t>jm</w:t>
      </w:r>
      <w:r w:rsidRPr="00E67940">
        <w:rPr>
          <w:rFonts w:ascii="Calibri" w:eastAsia="Times New Roman" w:hAnsi="Calibri" w:cs="Calibri"/>
          <w:b/>
          <w:bCs/>
          <w:lang w:eastAsia="cs-CZ"/>
        </w:rPr>
        <w:t>ů</w:t>
      </w:r>
      <w:r w:rsidRPr="00E67940">
        <w:rPr>
          <w:rFonts w:eastAsia="Times New Roman" w:cstheme="minorHAnsi"/>
          <w:b/>
          <w:bCs/>
          <w:lang w:eastAsia="cs-CZ"/>
        </w:rPr>
        <w:t>:</w:t>
      </w:r>
      <w:r w:rsidRPr="00E67940">
        <w:rPr>
          <w:rFonts w:eastAsia="Times New Roman" w:cstheme="minorHAnsi"/>
          <w:lang w:eastAsia="cs-CZ"/>
        </w:rPr>
        <w:t xml:space="preserve"> Upozornili jsme, že radní schválili opravu komunikace před domem č. p. 414, kde část pozemku patří jednomu z nich. Starosta sdělil, že šlo o zcela minimální zásah do soukromého pozemku v rámci celkové opravy, a střet zájmů se proto neřešil. Hodnocení tohoto postupu necháváme na každém z Vás.</w:t>
      </w:r>
    </w:p>
    <w:p w14:paraId="2B9ABC73" w14:textId="77777777" w:rsidR="00E67940" w:rsidRPr="00E67940" w:rsidRDefault="00E67940" w:rsidP="00E67940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1DB7507B" w14:textId="373FA395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E67940">
        <w:rPr>
          <w:rFonts w:eastAsia="Times New Roman" w:cstheme="minorHAnsi"/>
          <w:b/>
          <w:bCs/>
          <w:caps/>
          <w:lang w:eastAsia="cs-CZ"/>
        </w:rPr>
        <w:t>Hospodaření obce za rok 2025</w:t>
      </w:r>
    </w:p>
    <w:p w14:paraId="1C974776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V rámci schvalování závěrečného účtu a účetní závěrky předsedkyně finančního výboru paní Jiskrová shrnula klíčová čísla:</w:t>
      </w:r>
    </w:p>
    <w:p w14:paraId="729D33C9" w14:textId="2CFD276B" w:rsidR="00E67940" w:rsidRPr="00E67940" w:rsidRDefault="00E67940" w:rsidP="00E6794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Rekordní rozpočet:</w:t>
      </w:r>
      <w:r w:rsidRPr="00E67940">
        <w:rPr>
          <w:rFonts w:eastAsia="Times New Roman" w:cstheme="minorHAnsi"/>
          <w:lang w:eastAsia="cs-CZ"/>
        </w:rPr>
        <w:t xml:space="preserve"> Příjmy obce dosáhly 150 milionů Kč (včetně dotací na nájemní bydlení), výdaje činily 168 milionů Kč.</w:t>
      </w:r>
    </w:p>
    <w:p w14:paraId="13D88F86" w14:textId="77777777" w:rsidR="00E67940" w:rsidRPr="00E67940" w:rsidRDefault="00E67940" w:rsidP="00E6794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lastRenderedPageBreak/>
        <w:t>Krytí schodku:</w:t>
      </w:r>
      <w:r w:rsidRPr="00E67940">
        <w:rPr>
          <w:rFonts w:eastAsia="Times New Roman" w:cstheme="minorHAnsi"/>
          <w:lang w:eastAsia="cs-CZ"/>
        </w:rPr>
        <w:t xml:space="preserve"> Rozdíl obec pokryla z dlouhodobě vytvořených finančních rezerv. Jediným novým závazkem je úvěr na dokončení nájemního bydlení, který bude splácen z vybraného nájemného a nezatíží ostatní občany.</w:t>
      </w:r>
    </w:p>
    <w:p w14:paraId="7606B190" w14:textId="50E36BA2" w:rsidR="00E67940" w:rsidRDefault="00E67940" w:rsidP="00E67940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Růst majetku:</w:t>
      </w:r>
      <w:r w:rsidRPr="00E67940">
        <w:rPr>
          <w:rFonts w:eastAsia="Times New Roman" w:cstheme="minorHAnsi"/>
          <w:lang w:eastAsia="cs-CZ"/>
        </w:rPr>
        <w:t xml:space="preserve"> Celková hodnota aktiv obce vzrostla z 366 milionů na úctyhodných 419 milionů Kč.</w:t>
      </w:r>
    </w:p>
    <w:p w14:paraId="3FA500BD" w14:textId="30086036" w:rsidR="00E67940" w:rsidRDefault="00E67940" w:rsidP="00E67940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79D6CFC1" w14:textId="2A7F1E0D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E67940">
        <w:rPr>
          <w:rFonts w:eastAsia="Times New Roman" w:cstheme="minorHAnsi"/>
          <w:b/>
          <w:bCs/>
          <w:caps/>
          <w:lang w:eastAsia="cs-CZ"/>
        </w:rPr>
        <w:t>Rozpočtové opatření</w:t>
      </w:r>
    </w:p>
    <w:p w14:paraId="40ED156D" w14:textId="06DDF30A" w:rsid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Zastupitelé schválili navýšení výdajů pro Výletiště o 2,7 milionu Kč na vícepráce související s rekonstrukcí svahu s lavičkami a na vnitřní vybavení, jako jsou dřezy a ostatní gastro zařízení. Celkové náklady by tak měly přesáhnout 30 mil. Kč.</w:t>
      </w:r>
    </w:p>
    <w:p w14:paraId="610FC650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25BC93E" w14:textId="368EE039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E67940">
        <w:rPr>
          <w:rFonts w:eastAsia="Times New Roman" w:cstheme="minorHAnsi"/>
          <w:b/>
          <w:bCs/>
          <w:caps/>
          <w:lang w:eastAsia="cs-CZ"/>
        </w:rPr>
        <w:t>Dotace pro farnost</w:t>
      </w:r>
    </w:p>
    <w:p w14:paraId="764436C6" w14:textId="055B1AF0" w:rsid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Prostředky ve výši 610 000 Kč pro Římskokatolickou farnost Fryčovice budou využity na projekt inženýrsko-geologického průzkumu svahu pod kostelem Nanebevzetí Panny Marie. Ten vykazuje nestabilitu a ohrožuje jak samotnou památku, tak i okol</w:t>
      </w:r>
      <w:r w:rsidR="005155DA">
        <w:rPr>
          <w:rFonts w:eastAsia="Times New Roman" w:cstheme="minorHAnsi"/>
          <w:lang w:eastAsia="cs-CZ"/>
        </w:rPr>
        <w:t>ní nemovitosti.</w:t>
      </w:r>
    </w:p>
    <w:p w14:paraId="3C550C5E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1F62F4F" w14:textId="10A05CC9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b/>
          <w:bCs/>
          <w:caps/>
          <w:lang w:eastAsia="cs-CZ"/>
        </w:rPr>
      </w:pPr>
      <w:r w:rsidRPr="00E67940">
        <w:rPr>
          <w:rFonts w:eastAsia="Times New Roman" w:cstheme="minorHAnsi"/>
          <w:b/>
          <w:bCs/>
          <w:caps/>
          <w:lang w:eastAsia="cs-CZ"/>
        </w:rPr>
        <w:t>Diskuse a různé</w:t>
      </w:r>
    </w:p>
    <w:p w14:paraId="4C81BA66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V závěrečné debatě zaznělo několik důležitých informací:</w:t>
      </w:r>
    </w:p>
    <w:p w14:paraId="27D8A696" w14:textId="77777777" w:rsidR="00E67940" w:rsidRPr="00E67940" w:rsidRDefault="00E67940" w:rsidP="00E6794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Správa nájemního bydlení:</w:t>
      </w:r>
      <w:r w:rsidRPr="00E67940">
        <w:rPr>
          <w:rFonts w:eastAsia="Times New Roman" w:cstheme="minorHAnsi"/>
          <w:lang w:eastAsia="cs-CZ"/>
        </w:rPr>
        <w:t xml:space="preserve"> Obsluhu technologií (vytápění, elektro) zajišťují proškolení zaměstnanci obce. Společný prostor v domě slouží výhradně pro potřeby nájemníků a jejich návštěv, ostatní občané si tedy prostor pro rodinné oslavy pronajmout nemohou.</w:t>
      </w:r>
    </w:p>
    <w:p w14:paraId="3D7B7F91" w14:textId="0482CD61" w:rsidR="00E67940" w:rsidRPr="00E67940" w:rsidRDefault="00E67940" w:rsidP="00E6794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 xml:space="preserve">Dům po pí </w:t>
      </w:r>
      <w:proofErr w:type="spellStart"/>
      <w:r w:rsidRPr="00E67940">
        <w:rPr>
          <w:rFonts w:eastAsia="Times New Roman" w:cstheme="minorHAnsi"/>
          <w:b/>
          <w:bCs/>
          <w:lang w:eastAsia="cs-CZ"/>
        </w:rPr>
        <w:t>Krhutové</w:t>
      </w:r>
      <w:proofErr w:type="spellEnd"/>
      <w:r w:rsidRPr="00E67940">
        <w:rPr>
          <w:rFonts w:eastAsia="Times New Roman" w:cstheme="minorHAnsi"/>
          <w:b/>
          <w:bCs/>
          <w:lang w:eastAsia="cs-CZ"/>
        </w:rPr>
        <w:t xml:space="preserve"> (č. p. 85):</w:t>
      </w:r>
      <w:r w:rsidRPr="00E67940">
        <w:rPr>
          <w:rFonts w:eastAsia="Times New Roman" w:cstheme="minorHAnsi"/>
          <w:lang w:eastAsia="cs-CZ"/>
        </w:rPr>
        <w:t xml:space="preserve"> Objekt byl na dobu jednoho roku radou obce pronajat paní, která zde zřídí veřejné samoobslužné fitness centrum. Obec zajistí zateplení stropů kvůli vysokým tepelným ztrátám a nájemkyně vybaví interiér na vlastní náklady. Otevření se plánuje na září.</w:t>
      </w:r>
    </w:p>
    <w:p w14:paraId="45D9A48F" w14:textId="77777777" w:rsidR="00E67940" w:rsidRPr="00E67940" w:rsidRDefault="00E67940" w:rsidP="00E6794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Rekonstrukce hřbitova:</w:t>
      </w:r>
      <w:r w:rsidRPr="00E67940">
        <w:rPr>
          <w:rFonts w:eastAsia="Times New Roman" w:cstheme="minorHAnsi"/>
          <w:lang w:eastAsia="cs-CZ"/>
        </w:rPr>
        <w:t xml:space="preserve"> Práce běží podle plánu, vícepráce činí zhruba 4 % (cca 381 tisíc Kč) a zahrnují i kompletně novou dlažbu ve středové aleji pro jednotný vzhled. Do fryčovické pouti by mělo být hotovo z 99 %. Sazby nájemného za hrobová místa zůstávají beze změny.</w:t>
      </w:r>
    </w:p>
    <w:p w14:paraId="498AD558" w14:textId="77777777" w:rsidR="00E67940" w:rsidRPr="00E67940" w:rsidRDefault="00E67940" w:rsidP="00E6794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Mosty a propustky:</w:t>
      </w:r>
      <w:r w:rsidRPr="00E67940">
        <w:rPr>
          <w:rFonts w:eastAsia="Times New Roman" w:cstheme="minorHAnsi"/>
          <w:lang w:eastAsia="cs-CZ"/>
        </w:rPr>
        <w:t xml:space="preserve"> Aktualizované revize mostů a lávek jsou hotové (zájemcům budou podklady poskytnuty). Pasportizace propustků proběhne v průběhu července.</w:t>
      </w:r>
    </w:p>
    <w:p w14:paraId="6E27712D" w14:textId="77777777" w:rsidR="00E67940" w:rsidRPr="00E67940" w:rsidRDefault="00E67940" w:rsidP="00E6794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Zrcadlo u Penny Marketu:</w:t>
      </w:r>
      <w:r w:rsidRPr="00E67940">
        <w:rPr>
          <w:rFonts w:eastAsia="Times New Roman" w:cstheme="minorHAnsi"/>
          <w:lang w:eastAsia="cs-CZ"/>
        </w:rPr>
        <w:t xml:space="preserve"> Instalace zrcadla při výjezdu se momentálně nechystá, protože v běžných situacích mohou být zrcadla pro řidiče zavádějící. Starosta však situaci na místě ještě prověří s dopravní policií.</w:t>
      </w:r>
    </w:p>
    <w:p w14:paraId="7A2DADE0" w14:textId="13250D9B" w:rsidR="00E67940" w:rsidRDefault="00E67940" w:rsidP="00E67940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b/>
          <w:bCs/>
          <w:lang w:eastAsia="cs-CZ"/>
        </w:rPr>
        <w:t>Rizikové stromy u řeky:</w:t>
      </w:r>
      <w:r w:rsidRPr="00E67940">
        <w:rPr>
          <w:rFonts w:eastAsia="Times New Roman" w:cstheme="minorHAnsi"/>
          <w:lang w:eastAsia="cs-CZ"/>
        </w:rPr>
        <w:t xml:space="preserve"> Pozemky i koryto řeky jsou ve správě Povodí Odry, obec do nich nemůže přímo zasahovat. Na rizikové stromy (např. u mostu pana Slavíka) však správce pravidelně upozorňuje.</w:t>
      </w:r>
    </w:p>
    <w:p w14:paraId="10C752B2" w14:textId="77777777" w:rsidR="00E67940" w:rsidRPr="00E67940" w:rsidRDefault="00E67940" w:rsidP="00E67940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1D5A8AD4" w14:textId="644C90C6" w:rsidR="00E67940" w:rsidRDefault="007E157F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t>Čtyři roky v zastupitelstvu utekly jako voda v Ondřejnici a podzimní volby už pomalu klepou na dveře. Fryčovice jsou náš domov, máme je v srdci a jsme upřímně hrdí na to, že můžeme pracovat pro Vás a s Vámi. Věříme, že za námi zůstává kus práce, která naši obec posouvá dál. Naším hlavním cílem totiž stále zůstává rozvíjet Fryčovice s respektem, zdravým rozumem a dělat z nich to nejlepší místo pro život.</w:t>
      </w:r>
    </w:p>
    <w:p w14:paraId="552A7BE9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9722F4D" w14:textId="77777777" w:rsid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 xml:space="preserve">Teď už ale hoďte politiku i starosti za hlavu. Užijte si nádherné, slunečné léto, naberte síly na dovolených a v září se na Vás budeme opět těšit. </w:t>
      </w:r>
    </w:p>
    <w:p w14:paraId="3DFC2E3B" w14:textId="77777777" w:rsid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58C96D2" w14:textId="5C8D90E3" w:rsid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67940">
        <w:rPr>
          <w:rFonts w:eastAsia="Times New Roman" w:cstheme="minorHAnsi"/>
          <w:lang w:eastAsia="cs-CZ"/>
        </w:rPr>
        <w:t>Uvidíme se na dalším zasedání zastupitelstva 23. září!</w:t>
      </w:r>
    </w:p>
    <w:p w14:paraId="12EC0B86" w14:textId="77777777" w:rsidR="00E67940" w:rsidRPr="00E67940" w:rsidRDefault="00E67940" w:rsidP="00E6794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B14DD5E" w14:textId="69F38836" w:rsidR="000D3DE6" w:rsidRPr="00E67940" w:rsidRDefault="00E67940" w:rsidP="007E157F">
      <w:pPr>
        <w:spacing w:after="0" w:line="240" w:lineRule="auto"/>
        <w:jc w:val="both"/>
      </w:pPr>
      <w:r w:rsidRPr="00E67940">
        <w:rPr>
          <w:rFonts w:eastAsia="Times New Roman" w:cstheme="minorHAnsi"/>
          <w:b/>
          <w:bCs/>
          <w:lang w:eastAsia="cs-CZ"/>
        </w:rPr>
        <w:t>Vaši zastupitelé z hnutí Naše Fryčovice</w:t>
      </w:r>
    </w:p>
    <w:sectPr w:rsidR="000D3DE6" w:rsidRPr="00E6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293"/>
    <w:multiLevelType w:val="multilevel"/>
    <w:tmpl w:val="1A1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0483"/>
    <w:multiLevelType w:val="multilevel"/>
    <w:tmpl w:val="8AA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2E37"/>
    <w:multiLevelType w:val="multilevel"/>
    <w:tmpl w:val="539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D1035"/>
    <w:multiLevelType w:val="hybridMultilevel"/>
    <w:tmpl w:val="F2D6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A7A1A"/>
    <w:multiLevelType w:val="multilevel"/>
    <w:tmpl w:val="F1B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21D4E"/>
    <w:multiLevelType w:val="multilevel"/>
    <w:tmpl w:val="CBC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B67E9"/>
    <w:multiLevelType w:val="multilevel"/>
    <w:tmpl w:val="43C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F3BBA"/>
    <w:multiLevelType w:val="multilevel"/>
    <w:tmpl w:val="2816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D7FA9"/>
    <w:multiLevelType w:val="multilevel"/>
    <w:tmpl w:val="9D82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46E33"/>
    <w:multiLevelType w:val="hybridMultilevel"/>
    <w:tmpl w:val="D9B0B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5700F"/>
    <w:multiLevelType w:val="multilevel"/>
    <w:tmpl w:val="841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D34DB"/>
    <w:multiLevelType w:val="multilevel"/>
    <w:tmpl w:val="D20C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D2E72"/>
    <w:multiLevelType w:val="multilevel"/>
    <w:tmpl w:val="1F0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461A6"/>
    <w:multiLevelType w:val="multilevel"/>
    <w:tmpl w:val="E0B0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0"/>
    <w:rsid w:val="000964B7"/>
    <w:rsid w:val="000D3DE6"/>
    <w:rsid w:val="000F503F"/>
    <w:rsid w:val="00313E35"/>
    <w:rsid w:val="00383C60"/>
    <w:rsid w:val="00425BF2"/>
    <w:rsid w:val="005155DA"/>
    <w:rsid w:val="00543330"/>
    <w:rsid w:val="006C19E7"/>
    <w:rsid w:val="00743458"/>
    <w:rsid w:val="007E157F"/>
    <w:rsid w:val="00903E20"/>
    <w:rsid w:val="00934D68"/>
    <w:rsid w:val="00A85FC3"/>
    <w:rsid w:val="00B61CC4"/>
    <w:rsid w:val="00D374AD"/>
    <w:rsid w:val="00E67940"/>
    <w:rsid w:val="00F2664F"/>
    <w:rsid w:val="00F8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CA16"/>
  <w15:chartTrackingRefBased/>
  <w15:docId w15:val="{3BBABDDE-E10E-4784-A1BA-D91BF49C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03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03E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03E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03E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664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85FC3"/>
    <w:rPr>
      <w:b/>
      <w:bCs/>
    </w:rPr>
  </w:style>
  <w:style w:type="character" w:customStyle="1" w:styleId="t286pc">
    <w:name w:val="t286pc"/>
    <w:basedOn w:val="Standardnpsmoodstavce"/>
    <w:rsid w:val="00A85FC3"/>
  </w:style>
  <w:style w:type="paragraph" w:customStyle="1" w:styleId="z1qcye">
    <w:name w:val="z1qcye"/>
    <w:basedOn w:val="Normln"/>
    <w:rsid w:val="00A8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15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4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4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1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4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7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7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1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7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9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4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3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4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4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5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74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9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3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0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7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3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Jiskrová</dc:creator>
  <cp:keywords/>
  <dc:description/>
  <cp:lastModifiedBy>Dagmar Jiskrová</cp:lastModifiedBy>
  <cp:revision>2</cp:revision>
  <dcterms:created xsi:type="dcterms:W3CDTF">2026-07-09T06:16:00Z</dcterms:created>
  <dcterms:modified xsi:type="dcterms:W3CDTF">2026-07-09T06:16:00Z</dcterms:modified>
</cp:coreProperties>
</file>